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83/SES_2026_01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Kanalsanierung in den Teilorten Ober-/Unterberken in Schorndorf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Kanalsanierungsarbeiten in geschlossener Bauweise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